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790" w:type="dxa"/>
        <w:tblInd w:w="-1062" w:type="dxa"/>
        <w:tblLook w:val="04A0"/>
      </w:tblPr>
      <w:tblGrid>
        <w:gridCol w:w="3060"/>
        <w:gridCol w:w="8730"/>
      </w:tblGrid>
      <w:tr w:rsidR="001A1093" w:rsidTr="00F46A90">
        <w:tc>
          <w:tcPr>
            <w:tcW w:w="3060" w:type="dxa"/>
          </w:tcPr>
          <w:p w:rsidR="001A1093" w:rsidRDefault="001A1093">
            <w:r>
              <w:t>Teacher Name:</w:t>
            </w:r>
          </w:p>
        </w:tc>
        <w:tc>
          <w:tcPr>
            <w:tcW w:w="8730" w:type="dxa"/>
          </w:tcPr>
          <w:p w:rsidR="001A1093" w:rsidRDefault="001A1093"/>
        </w:tc>
      </w:tr>
      <w:tr w:rsidR="001A1093" w:rsidTr="00F46A90">
        <w:tc>
          <w:tcPr>
            <w:tcW w:w="3060" w:type="dxa"/>
          </w:tcPr>
          <w:p w:rsidR="001A1093" w:rsidRDefault="001A1093">
            <w:r>
              <w:t>Lesson Title:</w:t>
            </w:r>
          </w:p>
        </w:tc>
        <w:tc>
          <w:tcPr>
            <w:tcW w:w="8730" w:type="dxa"/>
          </w:tcPr>
          <w:p w:rsidR="001A1093" w:rsidRDefault="001A1093"/>
        </w:tc>
      </w:tr>
      <w:tr w:rsidR="001A1093" w:rsidTr="00F46A90">
        <w:tc>
          <w:tcPr>
            <w:tcW w:w="3060" w:type="dxa"/>
          </w:tcPr>
          <w:p w:rsidR="001A1093" w:rsidRDefault="001A1093">
            <w:r>
              <w:t>Curriculum Area:</w:t>
            </w:r>
          </w:p>
        </w:tc>
        <w:tc>
          <w:tcPr>
            <w:tcW w:w="8730" w:type="dxa"/>
          </w:tcPr>
          <w:p w:rsidR="001A1093" w:rsidRDefault="001A1093"/>
        </w:tc>
      </w:tr>
      <w:tr w:rsidR="001A1093" w:rsidTr="00F46A90">
        <w:tc>
          <w:tcPr>
            <w:tcW w:w="3060" w:type="dxa"/>
          </w:tcPr>
          <w:p w:rsidR="001A1093" w:rsidRDefault="001A1093">
            <w:r>
              <w:t>Grade Level:</w:t>
            </w:r>
          </w:p>
        </w:tc>
        <w:tc>
          <w:tcPr>
            <w:tcW w:w="8730" w:type="dxa"/>
          </w:tcPr>
          <w:p w:rsidR="001A1093" w:rsidRDefault="001A1093"/>
        </w:tc>
      </w:tr>
      <w:tr w:rsidR="001A1093" w:rsidTr="00F46A90">
        <w:tc>
          <w:tcPr>
            <w:tcW w:w="3060" w:type="dxa"/>
          </w:tcPr>
          <w:p w:rsidR="001A1093" w:rsidRDefault="001A1093">
            <w:r>
              <w:t>School-based Initiatives</w:t>
            </w:r>
          </w:p>
        </w:tc>
        <w:tc>
          <w:tcPr>
            <w:tcW w:w="8730" w:type="dxa"/>
          </w:tcPr>
          <w:p w:rsidR="001A1093" w:rsidRDefault="005B5980">
            <w:r w:rsidRPr="00F46A90">
              <w:rPr>
                <w:b/>
                <w:i/>
              </w:rPr>
              <w:t>AVID</w:t>
            </w:r>
            <w:r>
              <w:t xml:space="preserve">______  </w:t>
            </w:r>
            <w:r w:rsidRPr="00F46A90">
              <w:rPr>
                <w:b/>
                <w:i/>
              </w:rPr>
              <w:t>WICOR</w:t>
            </w:r>
            <w:r>
              <w:t xml:space="preserve">____  </w:t>
            </w:r>
            <w:r w:rsidRPr="00F46A90">
              <w:rPr>
                <w:b/>
                <w:i/>
              </w:rPr>
              <w:t xml:space="preserve">Schoolnet </w:t>
            </w:r>
            <w:r>
              <w:t xml:space="preserve">_____   </w:t>
            </w:r>
            <w:r w:rsidRPr="00F46A90">
              <w:rPr>
                <w:b/>
                <w:i/>
              </w:rPr>
              <w:t>Edmentum</w:t>
            </w:r>
            <w:r>
              <w:t xml:space="preserve">  ______</w:t>
            </w:r>
            <w:r w:rsidR="00F46A90">
              <w:t xml:space="preserve">  </w:t>
            </w:r>
            <w:r w:rsidRPr="00F46A90">
              <w:rPr>
                <w:b/>
                <w:i/>
              </w:rPr>
              <w:t>Princeton Review</w:t>
            </w:r>
            <w:r w:rsidR="00F46A90">
              <w:t xml:space="preserve">________           </w:t>
            </w:r>
          </w:p>
        </w:tc>
      </w:tr>
      <w:tr w:rsidR="001A1093" w:rsidTr="00F46A90">
        <w:tc>
          <w:tcPr>
            <w:tcW w:w="3060" w:type="dxa"/>
          </w:tcPr>
          <w:p w:rsidR="001A1093" w:rsidRDefault="005B5980">
            <w:r>
              <w:t>Technology Objective(s):</w:t>
            </w:r>
          </w:p>
        </w:tc>
        <w:tc>
          <w:tcPr>
            <w:tcW w:w="8730" w:type="dxa"/>
          </w:tcPr>
          <w:p w:rsidR="001A1093" w:rsidRDefault="001A1093"/>
        </w:tc>
      </w:tr>
      <w:tr w:rsidR="001A1093" w:rsidTr="00F46A90">
        <w:tc>
          <w:tcPr>
            <w:tcW w:w="3060" w:type="dxa"/>
          </w:tcPr>
          <w:p w:rsidR="001A1093" w:rsidRDefault="005B5980" w:rsidP="005B5980">
            <w:r>
              <w:t xml:space="preserve">I. </w:t>
            </w:r>
            <w:r w:rsidRPr="005B5980">
              <w:rPr>
                <w:b/>
              </w:rPr>
              <w:t>Getting students set to learn</w:t>
            </w:r>
          </w:p>
          <w:p w:rsidR="005B5980" w:rsidRDefault="005B5980" w:rsidP="005B5980">
            <w:r w:rsidRPr="005B5980">
              <w:rPr>
                <w:b/>
                <w:color w:val="C0504D" w:themeColor="accent2"/>
              </w:rPr>
              <w:t>Step 1: Review</w:t>
            </w:r>
            <w:r>
              <w:t>-Typically at the beginning of the lesson, review previous material that is relevant to the lesson</w:t>
            </w:r>
          </w:p>
          <w:p w:rsidR="005B5980" w:rsidRDefault="005B5980" w:rsidP="005B5980">
            <w:r w:rsidRPr="005B5980">
              <w:rPr>
                <w:b/>
                <w:color w:val="4F6228" w:themeColor="accent3" w:themeShade="80"/>
              </w:rPr>
              <w:t>Step 2:</w:t>
            </w:r>
            <w:r w:rsidRPr="005B5980">
              <w:rPr>
                <w:color w:val="4F6228" w:themeColor="accent3" w:themeShade="80"/>
              </w:rPr>
              <w:t xml:space="preserve"> </w:t>
            </w:r>
            <w:r w:rsidRPr="00A46324">
              <w:rPr>
                <w:b/>
                <w:color w:val="E36C0A" w:themeColor="accent6" w:themeShade="BF"/>
              </w:rPr>
              <w:t>Anticipatory Set:</w:t>
            </w:r>
            <w:r w:rsidRPr="00A46324">
              <w:rPr>
                <w:color w:val="E36C0A" w:themeColor="accent6" w:themeShade="BF"/>
              </w:rPr>
              <w:t xml:space="preserve"> </w:t>
            </w:r>
            <w:r>
              <w:t>Getting students to focus their attention on the material to be presented—getting them interested or prepared for what they are about to learn.</w:t>
            </w:r>
          </w:p>
          <w:p w:rsidR="005B5980" w:rsidRDefault="005B5980" w:rsidP="005B5980">
            <w:r w:rsidRPr="005B5980">
              <w:rPr>
                <w:b/>
                <w:color w:val="7030A0"/>
              </w:rPr>
              <w:t>Step 3: Objective</w:t>
            </w:r>
            <w:r>
              <w:t>—State the objective for the lesson.</w:t>
            </w:r>
          </w:p>
          <w:p w:rsidR="005B5980" w:rsidRDefault="005B5980" w:rsidP="005B5980">
            <w:pPr>
              <w:pStyle w:val="ListParagraph"/>
              <w:ind w:left="1080"/>
            </w:pPr>
          </w:p>
        </w:tc>
        <w:tc>
          <w:tcPr>
            <w:tcW w:w="8730" w:type="dxa"/>
          </w:tcPr>
          <w:p w:rsidR="001A1093" w:rsidRDefault="001A1093"/>
        </w:tc>
        <w:bookmarkStart w:id="0" w:name="_GoBack"/>
        <w:bookmarkEnd w:id="0"/>
      </w:tr>
      <w:tr w:rsidR="001A1093" w:rsidTr="00F46A90">
        <w:tc>
          <w:tcPr>
            <w:tcW w:w="3060" w:type="dxa"/>
          </w:tcPr>
          <w:p w:rsidR="001A1093" w:rsidRPr="005B5980" w:rsidRDefault="005B5980">
            <w:pPr>
              <w:rPr>
                <w:b/>
              </w:rPr>
            </w:pPr>
            <w:r w:rsidRPr="005B5980">
              <w:rPr>
                <w:b/>
              </w:rPr>
              <w:t>II. Instruction</w:t>
            </w:r>
          </w:p>
          <w:p w:rsidR="005B5980" w:rsidRDefault="005B5980">
            <w:r w:rsidRPr="005B5980">
              <w:rPr>
                <w:b/>
                <w:color w:val="C00000"/>
              </w:rPr>
              <w:t>Step 4: Input and Modeling</w:t>
            </w:r>
            <w:r>
              <w:t>—Presenting new information to students. Once the material has been presented, using them to show students examples of what is expected as an end product of their work.</w:t>
            </w:r>
          </w:p>
        </w:tc>
        <w:tc>
          <w:tcPr>
            <w:tcW w:w="8730" w:type="dxa"/>
          </w:tcPr>
          <w:p w:rsidR="001A1093" w:rsidRDefault="001A1093"/>
        </w:tc>
      </w:tr>
      <w:tr w:rsidR="001A1093" w:rsidTr="00F46A90">
        <w:tc>
          <w:tcPr>
            <w:tcW w:w="3060" w:type="dxa"/>
          </w:tcPr>
          <w:p w:rsidR="001A1093" w:rsidRPr="00A46324" w:rsidRDefault="005B5980">
            <w:pPr>
              <w:rPr>
                <w:b/>
              </w:rPr>
            </w:pPr>
            <w:r w:rsidRPr="00A46324">
              <w:rPr>
                <w:b/>
              </w:rPr>
              <w:t>III. Checking for Understanding</w:t>
            </w:r>
          </w:p>
          <w:p w:rsidR="005B5980" w:rsidRDefault="005B5980">
            <w:r w:rsidRPr="00A46324">
              <w:rPr>
                <w:b/>
                <w:color w:val="C00000"/>
              </w:rPr>
              <w:t>Step 5: Checking Understanding</w:t>
            </w:r>
            <w:r w:rsidR="00A46324">
              <w:t>-Determining whether or not students are making sense of the material as the material is being presented.</w:t>
            </w:r>
          </w:p>
          <w:p w:rsidR="00A46324" w:rsidRDefault="00A46324">
            <w:r w:rsidRPr="00A46324">
              <w:rPr>
                <w:b/>
                <w:color w:val="C00000"/>
              </w:rPr>
              <w:t>Step 6: Guided Practice</w:t>
            </w:r>
            <w:r w:rsidRPr="00A46324">
              <w:rPr>
                <w:color w:val="C00000"/>
              </w:rPr>
              <w:t>-</w:t>
            </w:r>
            <w:r>
              <w:t>Immediately after instruction students are given the opportunity to apply or practice what they have just learned and receive immediate feedback.</w:t>
            </w:r>
          </w:p>
          <w:p w:rsidR="00A46324" w:rsidRDefault="00A46324"/>
          <w:p w:rsidR="00A46324" w:rsidRDefault="00A46324"/>
        </w:tc>
        <w:tc>
          <w:tcPr>
            <w:tcW w:w="8730" w:type="dxa"/>
          </w:tcPr>
          <w:p w:rsidR="001A1093" w:rsidRDefault="001A1093"/>
        </w:tc>
      </w:tr>
      <w:tr w:rsidR="001A1093" w:rsidTr="00F46A90">
        <w:tc>
          <w:tcPr>
            <w:tcW w:w="3060" w:type="dxa"/>
          </w:tcPr>
          <w:p w:rsidR="001A1093" w:rsidRPr="00A46324" w:rsidRDefault="00A46324">
            <w:pPr>
              <w:rPr>
                <w:b/>
              </w:rPr>
            </w:pPr>
            <w:r w:rsidRPr="00A46324">
              <w:rPr>
                <w:b/>
              </w:rPr>
              <w:lastRenderedPageBreak/>
              <w:t>IV. Independent Practice</w:t>
            </w:r>
          </w:p>
          <w:p w:rsidR="00A46324" w:rsidRDefault="00A46324">
            <w:r w:rsidRPr="00A46324">
              <w:rPr>
                <w:b/>
                <w:color w:val="C00000"/>
              </w:rPr>
              <w:t>Step 7: Independent Practice</w:t>
            </w:r>
            <w:r w:rsidRPr="00A46324">
              <w:rPr>
                <w:b/>
                <w:color w:val="4BACC6" w:themeColor="accent5"/>
              </w:rPr>
              <w:t>-</w:t>
            </w:r>
            <w:r>
              <w:t>After students appear to understand the new material, they are given the opportunity to further apply or practice using the new information. This may occur in class or as homework, but there should be a short period of time between instruction and practice and between practice and feedback.</w:t>
            </w:r>
          </w:p>
        </w:tc>
        <w:tc>
          <w:tcPr>
            <w:tcW w:w="8730" w:type="dxa"/>
          </w:tcPr>
          <w:p w:rsidR="001A1093" w:rsidRDefault="001A1093"/>
        </w:tc>
      </w:tr>
    </w:tbl>
    <w:p w:rsidR="00841110" w:rsidRDefault="00841110"/>
    <w:sectPr w:rsidR="00841110" w:rsidSect="008943C5">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3F46" w:rsidRDefault="00363F46" w:rsidP="001A1093">
      <w:pPr>
        <w:spacing w:after="0" w:line="240" w:lineRule="auto"/>
      </w:pPr>
      <w:r>
        <w:separator/>
      </w:r>
    </w:p>
  </w:endnote>
  <w:endnote w:type="continuationSeparator" w:id="1">
    <w:p w:rsidR="00363F46" w:rsidRDefault="00363F46" w:rsidP="001A10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Engravers MT">
    <w:panose1 w:val="020907070805050203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3F46" w:rsidRDefault="00363F46" w:rsidP="001A1093">
      <w:pPr>
        <w:spacing w:after="0" w:line="240" w:lineRule="auto"/>
      </w:pPr>
      <w:r>
        <w:separator/>
      </w:r>
    </w:p>
  </w:footnote>
  <w:footnote w:type="continuationSeparator" w:id="1">
    <w:p w:rsidR="00363F46" w:rsidRDefault="00363F46" w:rsidP="001A10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Look w:val="04A0"/>
    </w:tblPr>
    <w:tblGrid>
      <w:gridCol w:w="9576"/>
    </w:tblGrid>
    <w:tr w:rsidR="001A1093" w:rsidRPr="001A1093" w:rsidTr="001A1093">
      <w:tc>
        <w:tcPr>
          <w:tcW w:w="9576" w:type="dxa"/>
        </w:tcPr>
        <w:p w:rsidR="001A1093" w:rsidRPr="001A1093" w:rsidRDefault="001A1093" w:rsidP="00E70D82">
          <w:pPr>
            <w:pStyle w:val="Header"/>
            <w:jc w:val="center"/>
            <w:rPr>
              <w:rFonts w:ascii="Engravers MT" w:hAnsi="Engravers MT"/>
            </w:rPr>
          </w:pPr>
          <w:r w:rsidRPr="001A1093">
            <w:rPr>
              <w:rFonts w:ascii="Engravers MT" w:hAnsi="Engravers MT"/>
            </w:rPr>
            <w:t>William R. Davie Middle School Lesson Plan Format</w:t>
          </w:r>
        </w:p>
        <w:p w:rsidR="001A1093" w:rsidRPr="001A1093" w:rsidRDefault="001A1093" w:rsidP="001A1093">
          <w:pPr>
            <w:pStyle w:val="Header"/>
            <w:jc w:val="center"/>
            <w:rPr>
              <w:b/>
              <w:sz w:val="24"/>
              <w:szCs w:val="24"/>
            </w:rPr>
          </w:pPr>
          <w:r w:rsidRPr="001A1093">
            <w:rPr>
              <w:b/>
              <w:sz w:val="24"/>
              <w:szCs w:val="24"/>
            </w:rPr>
            <w:t>for</w:t>
          </w:r>
        </w:p>
        <w:p w:rsidR="001A1093" w:rsidRPr="001A1093" w:rsidRDefault="001A1093" w:rsidP="001A1093">
          <w:pPr>
            <w:pStyle w:val="Header"/>
            <w:jc w:val="center"/>
            <w:rPr>
              <w:rFonts w:ascii="Engravers MT" w:hAnsi="Engravers MT"/>
            </w:rPr>
          </w:pPr>
          <w:r w:rsidRPr="001A1093">
            <w:rPr>
              <w:rFonts w:ascii="Engravers MT" w:hAnsi="Engravers MT"/>
            </w:rPr>
            <w:t>Novice Teachers</w:t>
          </w:r>
        </w:p>
        <w:p w:rsidR="001A1093" w:rsidRPr="001A1093" w:rsidRDefault="001A1093" w:rsidP="001A1093">
          <w:pPr>
            <w:pStyle w:val="Header"/>
            <w:jc w:val="center"/>
            <w:rPr>
              <w:b/>
              <w:sz w:val="24"/>
              <w:szCs w:val="24"/>
            </w:rPr>
          </w:pPr>
          <w:r w:rsidRPr="001A1093">
            <w:rPr>
              <w:b/>
              <w:sz w:val="24"/>
              <w:szCs w:val="24"/>
            </w:rPr>
            <w:t>2016-2017</w:t>
          </w:r>
        </w:p>
        <w:p w:rsidR="001A1093" w:rsidRPr="001A1093" w:rsidRDefault="001A1093" w:rsidP="00E70D82">
          <w:pPr>
            <w:pStyle w:val="Header"/>
            <w:jc w:val="center"/>
          </w:pPr>
        </w:p>
      </w:tc>
    </w:tr>
  </w:tbl>
  <w:p w:rsidR="001A1093" w:rsidRDefault="001A1093" w:rsidP="001A1093">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9B06E4"/>
    <w:multiLevelType w:val="hybridMultilevel"/>
    <w:tmpl w:val="504CC6AC"/>
    <w:lvl w:ilvl="0" w:tplc="2B68A3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A1093"/>
    <w:rsid w:val="001A1093"/>
    <w:rsid w:val="00363F46"/>
    <w:rsid w:val="005B5980"/>
    <w:rsid w:val="007A58BA"/>
    <w:rsid w:val="00841110"/>
    <w:rsid w:val="008943C5"/>
    <w:rsid w:val="00A46324"/>
    <w:rsid w:val="00B10EF3"/>
    <w:rsid w:val="00F46A9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3C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1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093"/>
  </w:style>
  <w:style w:type="paragraph" w:styleId="Footer">
    <w:name w:val="footer"/>
    <w:basedOn w:val="Normal"/>
    <w:link w:val="FooterChar"/>
    <w:uiPriority w:val="99"/>
    <w:unhideWhenUsed/>
    <w:rsid w:val="001A1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093"/>
  </w:style>
  <w:style w:type="table" w:styleId="TableGrid">
    <w:name w:val="Table Grid"/>
    <w:basedOn w:val="TableNormal"/>
    <w:uiPriority w:val="59"/>
    <w:rsid w:val="001A10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B59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A10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1093"/>
  </w:style>
  <w:style w:type="paragraph" w:styleId="Footer">
    <w:name w:val="footer"/>
    <w:basedOn w:val="Normal"/>
    <w:link w:val="FooterChar"/>
    <w:uiPriority w:val="99"/>
    <w:unhideWhenUsed/>
    <w:rsid w:val="001A10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1093"/>
  </w:style>
  <w:style w:type="table" w:styleId="TableGrid">
    <w:name w:val="Table Grid"/>
    <w:basedOn w:val="TableNormal"/>
    <w:uiPriority w:val="59"/>
    <w:rsid w:val="001A1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B5980"/>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222</Words>
  <Characters>1269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Charlene Nicholson</dc:creator>
  <cp:lastModifiedBy> </cp:lastModifiedBy>
  <cp:revision>2</cp:revision>
  <dcterms:created xsi:type="dcterms:W3CDTF">2016-08-25T20:09:00Z</dcterms:created>
  <dcterms:modified xsi:type="dcterms:W3CDTF">2016-08-25T20:09:00Z</dcterms:modified>
</cp:coreProperties>
</file>